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536"/>
        <w:gridCol w:w="4853"/>
      </w:tblGrid>
      <w:tr>
        <w:tblPrEx/>
        <w:trPr>
          <w:cantSplit/>
          <w:trHeight w:val="4111"/>
        </w:trPr>
        <w:tc>
          <w:tcPr>
            <w:tcW w:w="4536" w:type="dxa"/>
            <w:textDirection w:val="lrTb"/>
            <w:noWrap w:val="false"/>
          </w:tcPr>
          <w:p>
            <w:pPr>
              <w:pStyle w:val="832"/>
              <w:jc w:val="center"/>
              <w:spacing w:line="262" w:lineRule="auto"/>
              <w:rPr>
                <w:b/>
                <w:sz w:val="22"/>
                <w:szCs w:val="22"/>
              </w:rPr>
            </w:pPr>
            <w:r/>
            <w:bookmarkStart w:id="0" w:name="_GoBack"/>
            <w:r/>
            <w:bookmarkEnd w:id="0"/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14625" cy="21812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14625" cy="21812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3.75pt;height:171.7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Theme="minorEastAsia"/>
                <w:color w:val="0000ff"/>
                <w:sz w:val="18"/>
              </w:rPr>
              <w:t xml:space="preserve">на № ________</w:t>
            </w:r>
            <w:r>
              <w:rPr>
                <w:rFonts w:eastAsiaTheme="minorEastAsia"/>
                <w:color w:val="0000ff"/>
                <w:sz w:val="18"/>
              </w:rPr>
              <w:t xml:space="preserve">________</w:t>
            </w:r>
            <w:r>
              <w:rPr>
                <w:rFonts w:eastAsiaTheme="minorEastAsia"/>
                <w:color w:val="0000ff"/>
                <w:sz w:val="18"/>
              </w:rPr>
              <w:t xml:space="preserve"> от </w:t>
            </w:r>
            <w:r>
              <w:rPr>
                <w:rFonts w:eastAsiaTheme="minorEastAsia"/>
                <w:color w:val="0000ff"/>
                <w:sz w:val="18"/>
              </w:rPr>
              <w:t xml:space="preserve">_</w:t>
            </w:r>
            <w:r>
              <w:rPr>
                <w:rFonts w:eastAsiaTheme="minorEastAsia"/>
                <w:color w:val="0000ff"/>
                <w:sz w:val="18"/>
              </w:rPr>
              <w:t xml:space="preserve">____________</w:t>
            </w:r>
            <w:r>
              <w:rPr>
                <w:rFonts w:eastAsiaTheme="minorEastAsia"/>
                <w:color w:val="0000ff"/>
                <w:sz w:val="18"/>
              </w:rPr>
              <w:t xml:space="preserve">________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853" w:type="dxa"/>
            <w:textDirection w:val="lrTb"/>
            <w:noWrap w:val="false"/>
          </w:tcPr>
          <w:p>
            <w:pPr>
              <w:ind w:left="-11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51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Саморегулируемые организации  кадастровых инженеров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51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51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(по указателю рассылки)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ind w:left="-112"/>
              <w:jc w:val="center"/>
            </w:pPr>
            <w:r/>
            <w:r/>
          </w:p>
        </w:tc>
      </w:tr>
    </w:tbl>
    <w:p>
      <w:pPr>
        <w:pStyle w:val="851"/>
        <w:jc w:val="both"/>
      </w:pPr>
      <w:r>
        <w:t xml:space="preserve">Информация о типовых ошибках</w:t>
      </w:r>
      <w:r/>
    </w:p>
    <w:p>
      <w:pPr>
        <w:pStyle w:val="851"/>
        <w:jc w:val="both"/>
      </w:pPr>
      <w:r>
        <w:t xml:space="preserve">кадастровых инженеров</w:t>
      </w:r>
      <w:r>
        <w:t xml:space="preserve"> </w:t>
      </w:r>
      <w:r>
        <w:t xml:space="preserve">4 </w:t>
      </w:r>
      <w:r>
        <w:t xml:space="preserve">кв. 2025</w:t>
      </w:r>
      <w:r>
        <w:t xml:space="preserve"> </w:t>
      </w:r>
      <w:r>
        <w:t xml:space="preserve">г.</w:t>
      </w:r>
      <w:r/>
    </w:p>
    <w:p>
      <w:pPr>
        <w:ind w:firstLine="709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709"/>
        <w:jc w:val="both"/>
        <w:rPr>
          <w:rFonts w:cs="Times New Roman"/>
          <w:sz w:val="27"/>
          <w:szCs w:val="27"/>
        </w:rPr>
        <w:suppressLineNumbers w:val="0"/>
      </w:pPr>
      <w:r>
        <w:rPr>
          <w:rFonts w:cs="Times New Roman"/>
          <w:sz w:val="27"/>
          <w:szCs w:val="27"/>
        </w:rPr>
        <w:t xml:space="preserve">Управление Федеральной службы государственной регистрации, кадастра и картографии по Республике Башкортостан (далее – Управление) во исполнение поручения руководителя </w:t>
      </w:r>
      <w:r>
        <w:rPr>
          <w:rFonts w:cs="Times New Roman"/>
          <w:sz w:val="27"/>
          <w:szCs w:val="27"/>
        </w:rPr>
        <w:t xml:space="preserve">Росреестра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Скуфин</w:t>
      </w:r>
      <w:r>
        <w:rPr>
          <w:rFonts w:cs="Times New Roman"/>
          <w:sz w:val="27"/>
          <w:szCs w:val="27"/>
        </w:rPr>
        <w:t xml:space="preserve">ского</w:t>
      </w:r>
      <w:r>
        <w:rPr>
          <w:rFonts w:cs="Times New Roman"/>
          <w:sz w:val="27"/>
          <w:szCs w:val="27"/>
        </w:rPr>
        <w:t xml:space="preserve"> О.А. от 20.10.2022 </w:t>
      </w:r>
      <w:r>
        <w:rPr>
          <w:rFonts w:cs="Times New Roman"/>
          <w:sz w:val="27"/>
          <w:szCs w:val="27"/>
        </w:rPr>
        <w:br/>
        <w:t xml:space="preserve">№ОС-068</w:t>
      </w:r>
      <w:r>
        <w:rPr>
          <w:rFonts w:cs="Times New Roman"/>
          <w:sz w:val="27"/>
          <w:szCs w:val="27"/>
        </w:rPr>
        <w:t xml:space="preserve">/22 направляет информацию </w:t>
      </w:r>
      <w:r>
        <w:rPr>
          <w:rFonts w:cs="Times New Roman"/>
          <w:sz w:val="27"/>
          <w:szCs w:val="27"/>
        </w:rPr>
        <w:t xml:space="preserve">о систем</w:t>
      </w:r>
      <w:r>
        <w:rPr>
          <w:rFonts w:cs="Times New Roman"/>
          <w:sz w:val="27"/>
          <w:szCs w:val="27"/>
        </w:rPr>
        <w:t xml:space="preserve">атических, </w:t>
      </w:r>
      <w:r>
        <w:rPr>
          <w:rFonts w:cs="Times New Roman"/>
          <w:sz w:val="27"/>
          <w:szCs w:val="27"/>
        </w:rPr>
        <w:t xml:space="preserve">типичных нарушениях, допускаемых кадастровыми инженерами, при осуществлении кадастровых работ за 4</w:t>
      </w:r>
      <w:r>
        <w:rPr>
          <w:rFonts w:cs="Times New Roman"/>
          <w:sz w:val="27"/>
          <w:szCs w:val="27"/>
        </w:rPr>
        <w:t xml:space="preserve"> квартал </w:t>
      </w:r>
      <w:r>
        <w:rPr>
          <w:rFonts w:cs="Times New Roman"/>
          <w:sz w:val="27"/>
          <w:szCs w:val="27"/>
        </w:rPr>
        <w:t xml:space="preserve">202</w:t>
      </w:r>
      <w:r>
        <w:rPr>
          <w:rFonts w:cs="Times New Roman"/>
          <w:sz w:val="27"/>
          <w:szCs w:val="27"/>
        </w:rPr>
        <w:t xml:space="preserve">5 года</w:t>
      </w:r>
      <w:r>
        <w:rPr>
          <w:rFonts w:cs="Times New Roman"/>
          <w:sz w:val="27"/>
          <w:szCs w:val="27"/>
        </w:rPr>
        <w:t xml:space="preserve"> для принятия мер по повышению качества выполняемых членами </w:t>
      </w:r>
      <w:r>
        <w:rPr>
          <w:rFonts w:cs="Times New Roman"/>
          <w:sz w:val="27"/>
          <w:szCs w:val="27"/>
        </w:rPr>
        <w:t xml:space="preserve">саморегулируемых организаций кадастровых инженеров</w:t>
      </w:r>
      <w:r>
        <w:rPr>
          <w:rFonts w:cs="Times New Roman"/>
          <w:sz w:val="27"/>
          <w:szCs w:val="27"/>
        </w:rPr>
        <w:t xml:space="preserve">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709"/>
        <w:jc w:val="both"/>
        <w:widowControl/>
        <w:rPr>
          <w:rFonts w:cs="Times New Roman"/>
          <w:sz w:val="27"/>
          <w:szCs w:val="27"/>
          <w:highlight w:val="none"/>
        </w:rPr>
        <w:suppressLineNumbers w:val="0"/>
      </w:pPr>
      <w:r>
        <w:rPr>
          <w:rFonts w:cs="Times New Roman"/>
          <w:sz w:val="27"/>
          <w:szCs w:val="27"/>
        </w:rPr>
        <w:t xml:space="preserve">Исходя из анализа, среди основных причин, послуживших основанием для приостановления осуществления государственного кадастрового учета, к основным (частым) ошибкам, связанным с нарушением требований законодательства, допускаемых кадастровыми инженерами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в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4 квартале 202</w:t>
      </w:r>
      <w:r>
        <w:rPr>
          <w:rFonts w:cs="Times New Roman"/>
          <w:sz w:val="27"/>
          <w:szCs w:val="27"/>
        </w:rPr>
        <w:t xml:space="preserve">5 года</w:t>
      </w:r>
      <w:r>
        <w:rPr>
          <w:rFonts w:cs="Times New Roman"/>
          <w:sz w:val="27"/>
          <w:szCs w:val="27"/>
        </w:rPr>
        <w:t xml:space="preserve">, можно выделить следующие нарушения:</w:t>
      </w:r>
      <w:r>
        <w:rPr>
          <w:rFonts w:cs="Times New Roman"/>
          <w:sz w:val="27"/>
          <w:szCs w:val="27"/>
          <w:highlight w:val="none"/>
        </w:rPr>
      </w:r>
      <w:r>
        <w:rPr>
          <w:rFonts w:cs="Times New Roman"/>
          <w:sz w:val="27"/>
          <w:szCs w:val="27"/>
          <w:highlight w:val="none"/>
        </w:rPr>
      </w:r>
    </w:p>
    <w:p>
      <w:pPr>
        <w:pStyle w:val="674"/>
        <w:numPr>
          <w:ilvl w:val="0"/>
          <w:numId w:val="4"/>
        </w:numPr>
        <w:ind w:left="0" w:firstLine="709"/>
        <w:jc w:val="both"/>
        <w:widowControl/>
        <w:rPr>
          <w:rFonts w:cs="Times New Roman"/>
          <w:color w:val="ff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размер и площадь образуемого земельного участка  не соответствуют требованиям к пре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дельным (минимальным или максимальным) размерам земельных участков</w:t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28 ч. 1 ст. 26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Федерального закона от 13.07.2015 № 218-ФЗ </w:t>
      </w:r>
      <w:r>
        <w:rPr>
          <w:rFonts w:cs="Times New Roman"/>
          <w:color w:val="000000" w:themeColor="text1"/>
          <w:sz w:val="27"/>
          <w:szCs w:val="27"/>
        </w:rPr>
        <w:t xml:space="preserve">«О государствен</w:t>
      </w:r>
      <w:r>
        <w:rPr>
          <w:rFonts w:cs="Times New Roman"/>
          <w:color w:val="000000" w:themeColor="text1"/>
          <w:sz w:val="27"/>
          <w:szCs w:val="27"/>
        </w:rPr>
        <w:t xml:space="preserve">ной регистрации недвижимости»</w:t>
      </w:r>
      <w:r>
        <w:rPr>
          <w:rFonts w:cs="Times New Roman"/>
          <w:color w:val="000000" w:themeColor="text1"/>
          <w:sz w:val="27"/>
          <w:szCs w:val="27"/>
        </w:rPr>
        <w:t xml:space="preserve">, далее – Закон №218-ФЗ</w:t>
      </w:r>
      <w:r>
        <w:rPr>
          <w:rFonts w:cs="Times New Roman"/>
          <w:color w:val="000000" w:themeColor="text1"/>
          <w:sz w:val="27"/>
          <w:szCs w:val="27"/>
        </w:rPr>
        <w:t xml:space="preserve">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3"/>
        </w:numPr>
        <w:ind w:left="0" w:righ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вид разрешенного использования земельного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 участка, указанный в межевом плане образуемого земельного участка, не соответствует сведениям ЕГРН о виде разрешенного использования исходного земельного участка, при этом документы, подтверждающие изменение указанных сведений отсутствуют в меже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вом плане 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(п. 7 ч. 1 ст. 26 </w:t>
      </w:r>
      <w:r>
        <w:rPr>
          <w:rFonts w:cs="Times New Roman"/>
          <w:color w:val="000000" w:themeColor="text1"/>
          <w:sz w:val="27"/>
          <w:szCs w:val="27"/>
        </w:rPr>
        <w:t xml:space="preserve">Закон №218-ФЗ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</w:rPr>
        <w:t xml:space="preserve">;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3"/>
        </w:numPr>
        <w:ind w:left="0" w:righ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границы земельного участка, о государственном кадастровом учете которого представлено заявление, пересекают границы другого земельного участка, сведения о котором содержатся в ЕГРН (</w:t>
      </w:r>
      <w:r>
        <w:rPr>
          <w:rFonts w:cs="Times New Roman"/>
          <w:color w:val="000000" w:themeColor="text1"/>
          <w:sz w:val="27"/>
          <w:szCs w:val="27"/>
        </w:rPr>
        <w:t xml:space="preserve">п. 20 ч. 1 ст. 26 Закона № 218-ФЗ</w:t>
      </w:r>
      <w:r>
        <w:rPr>
          <w:rFonts w:cs="Times New Roman"/>
          <w:color w:val="000000" w:themeColor="text1"/>
          <w:sz w:val="27"/>
          <w:szCs w:val="27"/>
        </w:rPr>
        <w:t xml:space="preserve">)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2"/>
        </w:numPr>
        <w:ind w:left="0" w:righ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не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обеспечен доступ (проход или проезд от земельных участков общего пользования) к земельному участку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26 </w:t>
      </w:r>
      <w:r>
        <w:rPr>
          <w:rFonts w:cs="Times New Roman"/>
          <w:color w:val="000000" w:themeColor="text1"/>
          <w:sz w:val="27"/>
          <w:szCs w:val="27"/>
        </w:rPr>
        <w:t xml:space="preserve">ч. 1 ст. 26 </w:t>
      </w:r>
      <w:r>
        <w:rPr>
          <w:rFonts w:cs="Times New Roman"/>
          <w:color w:val="000000" w:themeColor="text1"/>
          <w:sz w:val="27"/>
          <w:szCs w:val="27"/>
        </w:rPr>
        <w:t xml:space="preserve">Закона №218-ФЗ</w:t>
      </w:r>
      <w:r>
        <w:rPr>
          <w:rFonts w:cs="Times New Roman"/>
          <w:color w:val="000000" w:themeColor="text1"/>
          <w:sz w:val="27"/>
          <w:szCs w:val="27"/>
        </w:rPr>
        <w:t xml:space="preserve">);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2"/>
        </w:numPr>
        <w:ind w:left="0" w:righ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  <w:t xml:space="preserve">границы земельного участка, о государственном кадастровом учете которого представлено заявление, пересекают границы территориальных зон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(</w:t>
      </w:r>
      <w:r>
        <w:rPr>
          <w:rFonts w:cs="Times New Roman"/>
          <w:color w:val="000000" w:themeColor="text1"/>
          <w:sz w:val="27"/>
          <w:szCs w:val="27"/>
        </w:rPr>
        <w:t xml:space="preserve">п. 21 ч. 1 ст. 26 Закона № 218-ФЗ</w:t>
      </w:r>
      <w:r>
        <w:rPr>
          <w:rFonts w:cs="Times New Roman"/>
          <w:color w:val="000000" w:themeColor="text1"/>
          <w:sz w:val="27"/>
          <w:szCs w:val="27"/>
        </w:rPr>
        <w:t xml:space="preserve">)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1"/>
        </w:numPr>
        <w:ind w:lef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отсутствует либо некорректно заполнен раздел технического плана «Заключение кадастрового инженера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1"/>
        </w:numPr>
        <w:ind w:left="0" w:righ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  <w:t xml:space="preserve">в техническом плане не верно указан вид объекта недвижимости, в отношении которого подготавливается технический план (пункт 51 Требований к подгото</w:t>
      </w:r>
      <w:r>
        <w:rPr>
          <w:rFonts w:cs="Times New Roman"/>
          <w:color w:val="000000" w:themeColor="text1"/>
          <w:sz w:val="27"/>
          <w:szCs w:val="27"/>
        </w:rPr>
        <w:t xml:space="preserve">вке технического плана)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1"/>
        </w:numPr>
        <w:ind w:lef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в техническом плане не указан либо некорректно указан год завершения строительства объекта недвижимости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</w:rPr>
        <w:t xml:space="preserve">;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pStyle w:val="674"/>
        <w:numPr>
          <w:ilvl w:val="0"/>
          <w:numId w:val="1"/>
        </w:numPr>
        <w:ind w:left="0" w:firstLine="709"/>
        <w:jc w:val="both"/>
        <w:widowControl/>
        <w:rPr>
          <w:rFonts w:cs="Times New Roman"/>
          <w:color w:val="000000" w:themeColor="text1"/>
          <w:sz w:val="27"/>
          <w:szCs w:val="27"/>
          <w:highlight w:val="none"/>
        </w:rPr>
        <w:suppressLineNumbers w:val="0"/>
      </w:pP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состав  приложений технического плана не соответствует требованиям к подготовке технического плана, утвержденных  Приказом Росреестра от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15.03.2022 № П/0082 </w:t>
      </w:r>
      <w:r>
        <w:rPr>
          <w:rFonts w:cs="Times New Roman"/>
          <w:color w:val="000000" w:themeColor="text1"/>
          <w:sz w:val="27"/>
          <w:szCs w:val="27"/>
        </w:rPr>
        <w:t xml:space="preserve">(п. 7 ч. 1 Закона № 218-ФЗ)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;</w:t>
      </w:r>
      <w:r>
        <w:rPr>
          <w:rFonts w:cs="Times New Roman"/>
          <w:color w:val="000000" w:themeColor="text1"/>
          <w:sz w:val="27"/>
          <w:szCs w:val="27"/>
          <w:highlight w:val="none"/>
        </w:rPr>
      </w:r>
      <w:r>
        <w:rPr>
          <w:rFonts w:cs="Times New Roman"/>
          <w:color w:val="000000" w:themeColor="text1"/>
          <w:sz w:val="27"/>
          <w:szCs w:val="27"/>
          <w:highlight w:val="none"/>
        </w:rPr>
      </w:r>
    </w:p>
    <w:p>
      <w:pPr>
        <w:pStyle w:val="674"/>
        <w:numPr>
          <w:ilvl w:val="0"/>
          <w:numId w:val="1"/>
        </w:numPr>
        <w:ind w:left="0" w:firstLine="709"/>
        <w:jc w:val="both"/>
        <w:widowControl/>
        <w:rPr>
          <w:rFonts w:cs="Times New Roman"/>
          <w:color w:val="000000" w:themeColor="text1"/>
          <w:sz w:val="27"/>
          <w:szCs w:val="27"/>
        </w:rPr>
        <w:suppressLineNumbers w:val="0"/>
      </w:pPr>
      <w:r>
        <w:rPr>
          <w:rFonts w:cs="Times New Roman"/>
          <w:color w:val="000000" w:themeColor="text1"/>
          <w:sz w:val="27"/>
          <w:szCs w:val="27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  <w:vertAlign w:val="baseline"/>
        </w:rPr>
        <w:t xml:space="preserve">имеются разночтения между сведениями, указанными в техническом плане и указанными в декларации об объекте недвижимости (год постройки, этажность и т.п.)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 w:themeColor="text1"/>
          <w:sz w:val="27"/>
          <w:szCs w:val="27"/>
          <w:u w:val="none"/>
        </w:rPr>
        <w:t xml:space="preserve"> </w:t>
      </w:r>
      <w:r>
        <w:rPr>
          <w:rFonts w:cs="Times New Roman"/>
          <w:color w:val="000000" w:themeColor="text1"/>
          <w:sz w:val="27"/>
          <w:szCs w:val="27"/>
        </w:rPr>
        <w:t xml:space="preserve"> (п. 7 ч. 1 Закона № 218-ФЗ)</w:t>
      </w:r>
      <w:r>
        <w:rPr>
          <w:rFonts w:cs="Times New Roman"/>
          <w:color w:val="000000" w:themeColor="text1"/>
          <w:sz w:val="27"/>
          <w:szCs w:val="27"/>
          <w:highlight w:val="none"/>
        </w:rPr>
        <w:t xml:space="preserve">. </w:t>
      </w:r>
      <w:r>
        <w:rPr>
          <w:rFonts w:cs="Times New Roman"/>
          <w:color w:val="000000" w:themeColor="text1"/>
          <w:sz w:val="27"/>
          <w:szCs w:val="27"/>
        </w:rPr>
      </w:r>
      <w:r>
        <w:rPr>
          <w:rFonts w:cs="Times New Roman"/>
          <w:color w:val="000000" w:themeColor="text1"/>
          <w:sz w:val="27"/>
          <w:szCs w:val="27"/>
        </w:rPr>
      </w:r>
    </w:p>
    <w:p>
      <w:pPr>
        <w:ind w:firstLine="709"/>
        <w:jc w:val="both"/>
        <w:widowControl/>
        <w:rPr>
          <w:rFonts w:cs="Times New Roman"/>
          <w:sz w:val="27"/>
          <w:szCs w:val="27"/>
        </w:rPr>
        <w:suppressLineNumbers w:val="0"/>
      </w:pPr>
      <w:r>
        <w:rPr>
          <w:rFonts w:cs="Times New Roman"/>
          <w:sz w:val="27"/>
          <w:szCs w:val="27"/>
        </w:rPr>
        <w:t xml:space="preserve">В целях исключения вышеуказанных ошибок кадастровыми инженерами при подгото</w:t>
      </w:r>
      <w:r>
        <w:rPr>
          <w:rFonts w:cs="Times New Roman"/>
          <w:sz w:val="27"/>
          <w:szCs w:val="27"/>
        </w:rPr>
        <w:t xml:space="preserve">вке технических/межевых планов </w:t>
      </w:r>
      <w:r>
        <w:rPr>
          <w:rFonts w:cs="Times New Roman"/>
          <w:sz w:val="27"/>
          <w:szCs w:val="27"/>
        </w:rPr>
        <w:t xml:space="preserve">в будущем, </w:t>
      </w:r>
      <w:r>
        <w:rPr>
          <w:rFonts w:cs="Times New Roman"/>
          <w:sz w:val="27"/>
          <w:szCs w:val="27"/>
        </w:rPr>
        <w:t xml:space="preserve">просим </w:t>
      </w:r>
      <w:r>
        <w:rPr>
          <w:rFonts w:cs="Times New Roman"/>
          <w:sz w:val="27"/>
          <w:szCs w:val="27"/>
        </w:rPr>
        <w:t xml:space="preserve">довести до сведения кадастровых инженеров вышеизложенную информацию, принять меры по недопущению подобных ошибок при подготовке документов для осуществления государственного кадастрового учета.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709"/>
        <w:jc w:val="both"/>
        <w:widowControl/>
        <w:rPr>
          <w:rFonts w:cs="Times New Roman"/>
          <w:sz w:val="27"/>
          <w:szCs w:val="27"/>
        </w:rPr>
        <w:suppressLineNumbers w:val="0"/>
      </w:pPr>
      <w:r>
        <w:rPr>
          <w:rFonts w:cs="Times New Roman"/>
          <w:sz w:val="27"/>
          <w:szCs w:val="27"/>
        </w:rPr>
        <w:t xml:space="preserve">Обращаем внимание, что взаимодействие с кадастровыми инженерами Управлением осуществляется различными способами: организация рабочих встреч, </w:t>
      </w:r>
      <w:r>
        <w:rPr>
          <w:rFonts w:cs="Times New Roman"/>
          <w:sz w:val="27"/>
          <w:szCs w:val="27"/>
        </w:rPr>
        <w:t xml:space="preserve">семинаров</w:t>
      </w:r>
      <w:r>
        <w:rPr>
          <w:rFonts w:cs="Times New Roman"/>
          <w:sz w:val="27"/>
          <w:szCs w:val="27"/>
        </w:rPr>
        <w:t xml:space="preserve">, консультирование на личном приеме и по телефону, через средства массовой информации, подготовка ответов на письменные обращени</w:t>
      </w:r>
      <w:r>
        <w:rPr>
          <w:rFonts w:cs="Times New Roman"/>
          <w:sz w:val="27"/>
          <w:szCs w:val="27"/>
        </w:rPr>
        <w:t xml:space="preserve">я.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ind w:firstLine="851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pStyle w:val="851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Приложение: таблица в формате </w:t>
      </w:r>
      <w:r>
        <w:rPr>
          <w:rFonts w:cs="Times New Roman"/>
          <w:bCs/>
          <w:sz w:val="27"/>
          <w:szCs w:val="27"/>
          <w:lang w:val="en-US"/>
        </w:rPr>
        <w:t xml:space="preserve">Excel</w:t>
      </w:r>
      <w:r>
        <w:rPr>
          <w:rFonts w:cs="Times New Roman"/>
          <w:bCs/>
          <w:sz w:val="27"/>
          <w:szCs w:val="27"/>
        </w:rPr>
        <w:t xml:space="preserve">.</w:t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1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1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51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ind w:firstLine="709"/>
        <w:jc w:val="both"/>
        <w:widowControl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                                                                                        </w:t>
      </w:r>
      <w:r>
        <w:rPr>
          <w:rFonts w:cs="Times New Roman"/>
          <w:sz w:val="27"/>
          <w:szCs w:val="27"/>
        </w:rPr>
        <w:t xml:space="preserve">       </w:t>
      </w:r>
      <w:r>
        <w:rPr>
          <w:rFonts w:cs="Times New Roman"/>
          <w:sz w:val="27"/>
          <w:szCs w:val="27"/>
        </w:rPr>
        <w:t xml:space="preserve">   </w:t>
      </w:r>
      <w:r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Э.М. </w:t>
      </w:r>
      <w:r>
        <w:rPr>
          <w:rFonts w:cs="Times New Roman"/>
          <w:sz w:val="27"/>
          <w:szCs w:val="27"/>
        </w:rPr>
        <w:t xml:space="preserve">Зайнетдинова</w:t>
      </w:r>
      <w:r>
        <w:rPr>
          <w:rFonts w:cs="Times New Roman"/>
          <w:sz w:val="27"/>
          <w:szCs w:val="27"/>
        </w:rPr>
      </w:r>
      <w:r>
        <w:rPr>
          <w:rFonts w:cs="Times New Roman"/>
          <w:sz w:val="27"/>
          <w:szCs w:val="27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jc w:val="both"/>
        <w:rPr>
          <w:sz w:val="20"/>
          <w:szCs w:val="20"/>
          <w:lang w:val="ba-RU"/>
        </w:rPr>
      </w:pPr>
      <w:r>
        <w:rPr>
          <w:sz w:val="20"/>
          <w:szCs w:val="20"/>
          <w:highlight w:val="none"/>
          <w:lang w:val="ba-RU"/>
        </w:rPr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p>
      <w:pPr>
        <w:pStyle w:val="851"/>
        <w:jc w:val="both"/>
        <w:rPr>
          <w:sz w:val="20"/>
          <w:szCs w:val="20"/>
          <w:highlight w:val="none"/>
          <w:lang w:val="ba-RU"/>
        </w:rPr>
      </w:pPr>
      <w:r>
        <w:rPr>
          <w:sz w:val="20"/>
          <w:szCs w:val="20"/>
          <w:lang w:val="ba-RU"/>
        </w:rPr>
        <w:t xml:space="preserve">Мутигуллина Ирина Сириновна</w:t>
      </w:r>
      <w:r>
        <w:rPr>
          <w:sz w:val="20"/>
          <w:szCs w:val="20"/>
          <w:highlight w:val="none"/>
          <w:lang w:val="ba-RU"/>
        </w:rPr>
      </w:r>
    </w:p>
    <w:p>
      <w:pPr>
        <w:pStyle w:val="851"/>
        <w:tabs>
          <w:tab w:val="left" w:pos="2754" w:leader="none"/>
        </w:tabs>
        <w:rPr>
          <w:sz w:val="20"/>
          <w:szCs w:val="20"/>
          <w:lang w:val="ba-RU"/>
        </w:rPr>
      </w:pPr>
      <w:r>
        <w:rPr>
          <w:sz w:val="20"/>
          <w:szCs w:val="20"/>
          <w:lang w:val="ba-RU"/>
        </w:rPr>
        <w:t xml:space="preserve">8</w:t>
      </w:r>
      <w:r>
        <w:rPr>
          <w:sz w:val="20"/>
          <w:szCs w:val="20"/>
          <w:lang w:val="ba-RU"/>
        </w:rPr>
        <w:t xml:space="preserve"> </w:t>
      </w:r>
      <w:r>
        <w:rPr>
          <w:sz w:val="20"/>
          <w:szCs w:val="20"/>
          <w:lang w:val="ba-RU"/>
        </w:rPr>
        <w:t xml:space="preserve">(347) </w:t>
      </w:r>
      <w:r>
        <w:rPr>
          <w:sz w:val="20"/>
          <w:szCs w:val="20"/>
          <w:lang w:val="ba-RU"/>
        </w:rPr>
        <w:t xml:space="preserve">224-36-16</w:t>
      </w:r>
      <w:r>
        <w:rPr>
          <w:sz w:val="20"/>
          <w:szCs w:val="20"/>
          <w:lang w:val="ba-RU"/>
        </w:rPr>
        <w:t xml:space="preserve"> (20</w:t>
      </w:r>
      <w:r>
        <w:rPr>
          <w:sz w:val="20"/>
          <w:szCs w:val="20"/>
          <w:lang w:val="ba-RU"/>
        </w:rPr>
        <w:t xml:space="preserve">14)</w:t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imSun">
    <w:panose1 w:val="02000506000000020000"/>
  </w:font>
  <w:font w:name="Tahoma">
    <w:panose1 w:val="020B0604030504040204"/>
  </w:font>
  <w:font w:name="Mangal">
    <w:panose1 w:val="02040503050306020203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835"/>
    <w:link w:val="831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0"/>
    <w:next w:val="830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0"/>
    <w:next w:val="830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83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5"/>
    <w:link w:val="838"/>
    <w:uiPriority w:val="99"/>
  </w:style>
  <w:style w:type="character" w:styleId="685">
    <w:name w:val="Footer Char"/>
    <w:basedOn w:val="835"/>
    <w:link w:val="840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40"/>
    <w:uiPriority w:val="99"/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5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5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spacing w:after="0" w:line="240" w:lineRule="auto"/>
    </w:pPr>
    <w:rPr>
      <w:rFonts w:eastAsia="Times New Roman"/>
      <w:sz w:val="28"/>
      <w:szCs w:val="20"/>
      <w:lang w:eastAsia="ru-RU"/>
    </w:rPr>
  </w:style>
  <w:style w:type="paragraph" w:styleId="831">
    <w:name w:val="Heading 1"/>
    <w:basedOn w:val="830"/>
    <w:next w:val="830"/>
    <w:link w:val="847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832">
    <w:name w:val="Heading 2"/>
    <w:basedOn w:val="830"/>
    <w:next w:val="830"/>
    <w:link w:val="842"/>
    <w:qFormat/>
    <w:pPr>
      <w:keepNext/>
      <w:outlineLvl w:val="1"/>
    </w:pPr>
  </w:style>
  <w:style w:type="paragraph" w:styleId="833">
    <w:name w:val="Heading 3"/>
    <w:basedOn w:val="830"/>
    <w:next w:val="830"/>
    <w:link w:val="843"/>
    <w:qFormat/>
    <w:pPr>
      <w:ind w:firstLine="720"/>
      <w:jc w:val="center"/>
      <w:keepNext/>
      <w:outlineLvl w:val="2"/>
    </w:pPr>
  </w:style>
  <w:style w:type="paragraph" w:styleId="834">
    <w:name w:val="Heading 6"/>
    <w:basedOn w:val="830"/>
    <w:next w:val="830"/>
    <w:link w:val="848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Header"/>
    <w:basedOn w:val="830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5"/>
    <w:link w:val="838"/>
    <w:uiPriority w:val="99"/>
  </w:style>
  <w:style w:type="paragraph" w:styleId="840">
    <w:name w:val="Footer"/>
    <w:basedOn w:val="830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5"/>
    <w:link w:val="840"/>
    <w:uiPriority w:val="99"/>
  </w:style>
  <w:style w:type="character" w:styleId="842" w:customStyle="1">
    <w:name w:val="Заголовок 2 Знак"/>
    <w:basedOn w:val="835"/>
    <w:link w:val="832"/>
    <w:rPr>
      <w:rFonts w:eastAsia="Times New Roman"/>
      <w:sz w:val="28"/>
      <w:szCs w:val="20"/>
      <w:lang w:eastAsia="ru-RU"/>
    </w:rPr>
  </w:style>
  <w:style w:type="character" w:styleId="843" w:customStyle="1">
    <w:name w:val="Заголовок 3 Знак"/>
    <w:basedOn w:val="835"/>
    <w:link w:val="833"/>
    <w:rPr>
      <w:rFonts w:eastAsia="Times New Roman"/>
      <w:sz w:val="28"/>
      <w:szCs w:val="20"/>
      <w:lang w:eastAsia="ru-RU"/>
    </w:rPr>
  </w:style>
  <w:style w:type="paragraph" w:styleId="844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5">
    <w:name w:val="Balloon Text"/>
    <w:basedOn w:val="830"/>
    <w:link w:val="846"/>
    <w:uiPriority w:val="99"/>
    <w:semiHidden/>
    <w:unhideWhenUsed/>
    <w:rPr>
      <w:rFonts w:ascii="Tahoma" w:hAnsi="Tahoma" w:cs="Tahoma"/>
      <w:sz w:val="16"/>
      <w:szCs w:val="16"/>
    </w:rPr>
  </w:style>
  <w:style w:type="character" w:styleId="846" w:customStyle="1">
    <w:name w:val="Текст выноски Знак"/>
    <w:basedOn w:val="835"/>
    <w:link w:val="84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47" w:customStyle="1">
    <w:name w:val="Заголовок 1 Знак"/>
    <w:basedOn w:val="835"/>
    <w:link w:val="83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lang w:eastAsia="ru-RU"/>
    </w:rPr>
  </w:style>
  <w:style w:type="character" w:styleId="848" w:customStyle="1">
    <w:name w:val="Заголовок 6 Знак"/>
    <w:basedOn w:val="835"/>
    <w:link w:val="834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character" w:styleId="849">
    <w:name w:val="Hyperlink"/>
    <w:basedOn w:val="835"/>
    <w:rPr>
      <w:color w:val="0000ff"/>
      <w:u w:val="single"/>
    </w:rPr>
  </w:style>
  <w:style w:type="table" w:styleId="850">
    <w:name w:val="Table Grid"/>
    <w:basedOn w:val="83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1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SimSun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Galieva.oo</dc:creator>
  <cp:revision>6</cp:revision>
  <dcterms:created xsi:type="dcterms:W3CDTF">2024-08-16T04:40:00Z</dcterms:created>
  <dcterms:modified xsi:type="dcterms:W3CDTF">2026-01-12T12:13:11Z</dcterms:modified>
</cp:coreProperties>
</file>